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AE" w:rsidRDefault="00F74BCC" w:rsidP="00EB1C40">
      <w:pPr>
        <w:rPr>
          <w:bCs/>
          <w:sz w:val="24"/>
        </w:rPr>
      </w:pPr>
      <w:bookmarkStart w:id="0" w:name="_GoBack"/>
      <w:bookmarkEnd w:id="0"/>
      <w:r>
        <w:rPr>
          <w:bCs/>
          <w:sz w:val="24"/>
        </w:rPr>
        <w:t>August 13, 2015</w:t>
      </w:r>
    </w:p>
    <w:p w:rsidR="006721AE" w:rsidRDefault="006721AE">
      <w:pPr>
        <w:rPr>
          <w:bCs/>
          <w:sz w:val="24"/>
        </w:rPr>
      </w:pPr>
    </w:p>
    <w:p w:rsidR="006721AE" w:rsidRDefault="006721AE">
      <w:pPr>
        <w:rPr>
          <w:bCs/>
          <w:sz w:val="24"/>
        </w:rPr>
      </w:pPr>
    </w:p>
    <w:p w:rsidR="004859A5" w:rsidRDefault="004859A5">
      <w:pPr>
        <w:rPr>
          <w:bCs/>
          <w:sz w:val="24"/>
        </w:rPr>
      </w:pPr>
    </w:p>
    <w:p w:rsidR="00B425AA" w:rsidRDefault="00F74BCC" w:rsidP="00B425AA">
      <w:pPr>
        <w:rPr>
          <w:bCs/>
          <w:sz w:val="24"/>
        </w:rPr>
      </w:pPr>
      <w:r>
        <w:rPr>
          <w:bCs/>
          <w:sz w:val="24"/>
        </w:rPr>
        <w:t>Mr. Jordan Irving</w:t>
      </w:r>
    </w:p>
    <w:p w:rsidR="00F74BCC" w:rsidRDefault="00F74BCC" w:rsidP="00B425AA">
      <w:pPr>
        <w:rPr>
          <w:bCs/>
          <w:sz w:val="24"/>
        </w:rPr>
      </w:pPr>
      <w:r>
        <w:rPr>
          <w:bCs/>
          <w:sz w:val="24"/>
        </w:rPr>
        <w:t>Philadelphia Gun Club</w:t>
      </w:r>
    </w:p>
    <w:p w:rsidR="00F74BCC" w:rsidRDefault="00F74BCC" w:rsidP="00B425AA">
      <w:pPr>
        <w:rPr>
          <w:bCs/>
          <w:sz w:val="24"/>
        </w:rPr>
      </w:pPr>
      <w:r>
        <w:rPr>
          <w:bCs/>
          <w:sz w:val="24"/>
        </w:rPr>
        <w:t>3051 State Road</w:t>
      </w:r>
    </w:p>
    <w:p w:rsidR="00F74BCC" w:rsidRDefault="00F74BCC" w:rsidP="00B425AA">
      <w:pPr>
        <w:rPr>
          <w:bCs/>
          <w:sz w:val="24"/>
        </w:rPr>
      </w:pPr>
      <w:r>
        <w:rPr>
          <w:bCs/>
          <w:sz w:val="24"/>
        </w:rPr>
        <w:t>Bensalem, PA 19020</w:t>
      </w:r>
    </w:p>
    <w:p w:rsidR="00B425AA" w:rsidRDefault="00B425AA" w:rsidP="00B425AA">
      <w:pPr>
        <w:rPr>
          <w:bCs/>
          <w:sz w:val="24"/>
        </w:rPr>
      </w:pPr>
    </w:p>
    <w:p w:rsidR="00A75FD8" w:rsidRDefault="00A75FD8" w:rsidP="00A75FD8">
      <w:pPr>
        <w:ind w:left="720" w:hanging="720"/>
        <w:rPr>
          <w:bCs/>
          <w:sz w:val="24"/>
        </w:rPr>
      </w:pPr>
      <w:r>
        <w:rPr>
          <w:bCs/>
          <w:sz w:val="24"/>
        </w:rPr>
        <w:t>Re:</w:t>
      </w:r>
      <w:r>
        <w:rPr>
          <w:bCs/>
          <w:sz w:val="24"/>
        </w:rPr>
        <w:tab/>
      </w:r>
      <w:r w:rsidR="004859A5">
        <w:rPr>
          <w:bCs/>
          <w:sz w:val="24"/>
        </w:rPr>
        <w:t xml:space="preserve">Disapproval of </w:t>
      </w:r>
      <w:r w:rsidR="00F74BCC">
        <w:rPr>
          <w:bCs/>
          <w:sz w:val="24"/>
        </w:rPr>
        <w:t>Remedial Investigation Report and Risk Assessment</w:t>
      </w:r>
    </w:p>
    <w:p w:rsidR="004859A5" w:rsidRDefault="00F74BCC" w:rsidP="004859A5">
      <w:pPr>
        <w:ind w:left="1440" w:hanging="720"/>
        <w:rPr>
          <w:bCs/>
          <w:sz w:val="24"/>
        </w:rPr>
      </w:pPr>
      <w:r>
        <w:rPr>
          <w:bCs/>
          <w:sz w:val="24"/>
        </w:rPr>
        <w:t>Philadelphia Gun Club</w:t>
      </w:r>
    </w:p>
    <w:p w:rsidR="004859A5" w:rsidRDefault="004859A5" w:rsidP="004859A5">
      <w:pPr>
        <w:ind w:left="1440" w:hanging="720"/>
        <w:rPr>
          <w:bCs/>
          <w:sz w:val="24"/>
        </w:rPr>
      </w:pPr>
      <w:proofErr w:type="gramStart"/>
      <w:r>
        <w:rPr>
          <w:bCs/>
          <w:sz w:val="24"/>
        </w:rPr>
        <w:t>eFACTS</w:t>
      </w:r>
      <w:proofErr w:type="gramEnd"/>
      <w:r>
        <w:rPr>
          <w:bCs/>
          <w:sz w:val="24"/>
        </w:rPr>
        <w:t xml:space="preserve"> PF No. </w:t>
      </w:r>
      <w:r w:rsidR="00F74BCC">
        <w:rPr>
          <w:bCs/>
          <w:sz w:val="24"/>
        </w:rPr>
        <w:t>720790</w:t>
      </w:r>
    </w:p>
    <w:p w:rsidR="00F74BCC" w:rsidRDefault="0079359A" w:rsidP="004859A5">
      <w:pPr>
        <w:ind w:left="1440" w:hanging="720"/>
        <w:rPr>
          <w:bCs/>
          <w:sz w:val="24"/>
        </w:rPr>
      </w:pPr>
      <w:proofErr w:type="gramStart"/>
      <w:r>
        <w:rPr>
          <w:bCs/>
          <w:sz w:val="24"/>
        </w:rPr>
        <w:t>eFACTS</w:t>
      </w:r>
      <w:proofErr w:type="gramEnd"/>
      <w:r w:rsidR="00F74BCC">
        <w:rPr>
          <w:bCs/>
          <w:sz w:val="24"/>
        </w:rPr>
        <w:t xml:space="preserve"> Site</w:t>
      </w:r>
      <w:r>
        <w:rPr>
          <w:bCs/>
          <w:sz w:val="24"/>
        </w:rPr>
        <w:t xml:space="preserve"> </w:t>
      </w:r>
      <w:r w:rsidR="00F74BCC">
        <w:rPr>
          <w:bCs/>
          <w:sz w:val="24"/>
        </w:rPr>
        <w:t>No.:778455</w:t>
      </w:r>
    </w:p>
    <w:p w:rsidR="004859A5" w:rsidRDefault="004A46F8" w:rsidP="004859A5">
      <w:pPr>
        <w:ind w:left="1440" w:hanging="720"/>
        <w:rPr>
          <w:bCs/>
          <w:sz w:val="24"/>
        </w:rPr>
      </w:pPr>
      <w:r>
        <w:rPr>
          <w:bCs/>
          <w:sz w:val="24"/>
        </w:rPr>
        <w:t>3</w:t>
      </w:r>
      <w:r w:rsidR="00F74BCC">
        <w:rPr>
          <w:bCs/>
          <w:sz w:val="24"/>
        </w:rPr>
        <w:t>051 State Road</w:t>
      </w:r>
    </w:p>
    <w:p w:rsidR="004859A5" w:rsidRDefault="00F74BCC" w:rsidP="004859A5">
      <w:pPr>
        <w:ind w:left="1440" w:hanging="720"/>
        <w:rPr>
          <w:bCs/>
          <w:sz w:val="24"/>
        </w:rPr>
      </w:pPr>
      <w:r>
        <w:rPr>
          <w:bCs/>
          <w:sz w:val="24"/>
        </w:rPr>
        <w:t>Bensalem Township</w:t>
      </w:r>
    </w:p>
    <w:p w:rsidR="004859A5" w:rsidRDefault="00F74BCC" w:rsidP="004859A5">
      <w:pPr>
        <w:ind w:left="1440" w:hanging="720"/>
        <w:rPr>
          <w:bCs/>
          <w:sz w:val="24"/>
        </w:rPr>
      </w:pPr>
      <w:r>
        <w:rPr>
          <w:bCs/>
          <w:sz w:val="24"/>
        </w:rPr>
        <w:t>Bucks</w:t>
      </w:r>
      <w:r w:rsidR="004859A5">
        <w:rPr>
          <w:bCs/>
          <w:sz w:val="24"/>
        </w:rPr>
        <w:t xml:space="preserve"> County</w:t>
      </w:r>
    </w:p>
    <w:p w:rsidR="00A75FD8" w:rsidRDefault="00A75FD8" w:rsidP="00A75FD8">
      <w:pPr>
        <w:ind w:left="720" w:hanging="720"/>
        <w:rPr>
          <w:bCs/>
          <w:sz w:val="24"/>
        </w:rPr>
      </w:pPr>
    </w:p>
    <w:p w:rsidR="00B425AA" w:rsidRDefault="00B425AA" w:rsidP="00B425AA">
      <w:pPr>
        <w:rPr>
          <w:bCs/>
          <w:sz w:val="24"/>
        </w:rPr>
      </w:pPr>
      <w:r>
        <w:rPr>
          <w:bCs/>
          <w:sz w:val="24"/>
        </w:rPr>
        <w:t xml:space="preserve">Dear </w:t>
      </w:r>
      <w:r w:rsidR="00F74BCC">
        <w:rPr>
          <w:bCs/>
          <w:sz w:val="24"/>
        </w:rPr>
        <w:t>Mr. Irving</w:t>
      </w:r>
      <w:r>
        <w:rPr>
          <w:bCs/>
          <w:sz w:val="24"/>
        </w:rPr>
        <w:t>:</w:t>
      </w:r>
    </w:p>
    <w:p w:rsidR="00B425AA" w:rsidRDefault="00B425AA" w:rsidP="00B425AA">
      <w:pPr>
        <w:rPr>
          <w:bCs/>
          <w:sz w:val="24"/>
        </w:rPr>
      </w:pPr>
    </w:p>
    <w:p w:rsidR="004859A5" w:rsidRPr="006918E8" w:rsidRDefault="004859A5" w:rsidP="004859A5">
      <w:pPr>
        <w:tabs>
          <w:tab w:val="left" w:pos="5040"/>
          <w:tab w:val="left" w:pos="5580"/>
        </w:tabs>
        <w:autoSpaceDE w:val="0"/>
        <w:autoSpaceDN w:val="0"/>
        <w:adjustRightInd w:val="0"/>
        <w:rPr>
          <w:sz w:val="24"/>
        </w:rPr>
      </w:pPr>
      <w:r w:rsidRPr="006918E8">
        <w:rPr>
          <w:sz w:val="24"/>
        </w:rPr>
        <w:t>The Departmen</w:t>
      </w:r>
      <w:r>
        <w:rPr>
          <w:sz w:val="24"/>
        </w:rPr>
        <w:t>t of Environmental Protection (</w:t>
      </w:r>
      <w:r w:rsidR="00530AA9">
        <w:rPr>
          <w:sz w:val="24"/>
          <w:szCs w:val="24"/>
        </w:rPr>
        <w:t>DEP</w:t>
      </w:r>
      <w:r w:rsidRPr="006918E8">
        <w:rPr>
          <w:sz w:val="24"/>
        </w:rPr>
        <w:t>) has reviewed the</w:t>
      </w:r>
      <w:r>
        <w:rPr>
          <w:sz w:val="24"/>
        </w:rPr>
        <w:t xml:space="preserve"> </w:t>
      </w:r>
      <w:r w:rsidR="004A46F8">
        <w:rPr>
          <w:bCs/>
          <w:sz w:val="24"/>
        </w:rPr>
        <w:t>May 15, 2015</w:t>
      </w:r>
      <w:r w:rsidRPr="006918E8">
        <w:rPr>
          <w:sz w:val="24"/>
        </w:rPr>
        <w:t xml:space="preserve"> document titled “</w:t>
      </w:r>
      <w:r w:rsidR="004A46F8">
        <w:rPr>
          <w:bCs/>
          <w:sz w:val="24"/>
        </w:rPr>
        <w:t>Remedial Investigation and Risk Assessment Report</w:t>
      </w:r>
      <w:r>
        <w:rPr>
          <w:bCs/>
          <w:sz w:val="24"/>
        </w:rPr>
        <w:t xml:space="preserve">,” </w:t>
      </w:r>
      <w:r w:rsidRPr="006918E8">
        <w:rPr>
          <w:sz w:val="24"/>
        </w:rPr>
        <w:t xml:space="preserve">for the property located at </w:t>
      </w:r>
      <w:r w:rsidR="004A46F8">
        <w:rPr>
          <w:bCs/>
          <w:sz w:val="24"/>
        </w:rPr>
        <w:t>3051 State Road, Bensalem Township</w:t>
      </w:r>
      <w:r w:rsidRPr="006918E8">
        <w:rPr>
          <w:sz w:val="24"/>
        </w:rPr>
        <w:t xml:space="preserve">.  The </w:t>
      </w:r>
      <w:r w:rsidR="004A46F8">
        <w:rPr>
          <w:bCs/>
          <w:sz w:val="24"/>
        </w:rPr>
        <w:t>Report</w:t>
      </w:r>
      <w:r>
        <w:rPr>
          <w:bCs/>
          <w:sz w:val="24"/>
        </w:rPr>
        <w:t xml:space="preserve"> </w:t>
      </w:r>
      <w:r w:rsidRPr="006918E8">
        <w:rPr>
          <w:sz w:val="24"/>
        </w:rPr>
        <w:t xml:space="preserve">was prepared by </w:t>
      </w:r>
      <w:r w:rsidR="004A46F8">
        <w:rPr>
          <w:bCs/>
          <w:sz w:val="24"/>
        </w:rPr>
        <w:t>Pennoni Associates</w:t>
      </w:r>
      <w:r>
        <w:rPr>
          <w:bCs/>
          <w:sz w:val="24"/>
        </w:rPr>
        <w:t xml:space="preserve"> </w:t>
      </w:r>
      <w:r w:rsidRPr="006918E8">
        <w:rPr>
          <w:sz w:val="24"/>
        </w:rPr>
        <w:t xml:space="preserve">and submitted to </w:t>
      </w:r>
      <w:r w:rsidR="00530AA9">
        <w:rPr>
          <w:sz w:val="24"/>
        </w:rPr>
        <w:t>DEP</w:t>
      </w:r>
      <w:r w:rsidRPr="006918E8">
        <w:rPr>
          <w:sz w:val="24"/>
        </w:rPr>
        <w:t xml:space="preserve"> in accordance with the Land Recycling and Environmental Remediation Standards Act (Act 2) and constitutes a</w:t>
      </w:r>
      <w:r>
        <w:rPr>
          <w:sz w:val="24"/>
        </w:rPr>
        <w:t xml:space="preserve"> </w:t>
      </w:r>
      <w:r w:rsidR="00031839">
        <w:rPr>
          <w:sz w:val="24"/>
        </w:rPr>
        <w:t xml:space="preserve">Remedial Investigation </w:t>
      </w:r>
      <w:r w:rsidR="004A46F8">
        <w:rPr>
          <w:bCs/>
          <w:sz w:val="24"/>
        </w:rPr>
        <w:t>Report</w:t>
      </w:r>
      <w:r w:rsidR="00031839">
        <w:rPr>
          <w:bCs/>
          <w:sz w:val="24"/>
        </w:rPr>
        <w:t xml:space="preserve"> and Risk Assessment </w:t>
      </w:r>
      <w:r w:rsidR="000051EC">
        <w:rPr>
          <w:sz w:val="24"/>
        </w:rPr>
        <w:t>as defined in Chapter 3.</w:t>
      </w:r>
    </w:p>
    <w:p w:rsidR="004859A5" w:rsidRPr="006918E8" w:rsidRDefault="004859A5" w:rsidP="004859A5">
      <w:pPr>
        <w:tabs>
          <w:tab w:val="left" w:pos="5040"/>
          <w:tab w:val="left" w:pos="5580"/>
        </w:tabs>
        <w:autoSpaceDE w:val="0"/>
        <w:autoSpaceDN w:val="0"/>
        <w:adjustRightInd w:val="0"/>
        <w:rPr>
          <w:sz w:val="24"/>
        </w:rPr>
      </w:pPr>
    </w:p>
    <w:p w:rsidR="004859A5" w:rsidRPr="006918E8" w:rsidRDefault="00530AA9" w:rsidP="004859A5">
      <w:pPr>
        <w:tabs>
          <w:tab w:val="left" w:pos="5040"/>
          <w:tab w:val="left" w:pos="5580"/>
        </w:tabs>
        <w:autoSpaceDE w:val="0"/>
        <w:autoSpaceDN w:val="0"/>
        <w:adjustRightInd w:val="0"/>
        <w:rPr>
          <w:sz w:val="24"/>
        </w:rPr>
      </w:pPr>
      <w:r>
        <w:rPr>
          <w:sz w:val="24"/>
          <w:szCs w:val="24"/>
        </w:rPr>
        <w:t>DEP</w:t>
      </w:r>
      <w:r w:rsidR="004859A5" w:rsidRPr="006918E8">
        <w:rPr>
          <w:sz w:val="24"/>
        </w:rPr>
        <w:t xml:space="preserve"> notes the following deficiencies in </w:t>
      </w:r>
      <w:r w:rsidR="00031839">
        <w:rPr>
          <w:sz w:val="24"/>
        </w:rPr>
        <w:t xml:space="preserve">Remedial Investigation </w:t>
      </w:r>
      <w:r w:rsidR="00031839">
        <w:rPr>
          <w:bCs/>
          <w:sz w:val="24"/>
        </w:rPr>
        <w:t>Report and Risk Assessment</w:t>
      </w:r>
      <w:r w:rsidR="004859A5">
        <w:rPr>
          <w:bCs/>
          <w:sz w:val="24"/>
        </w:rPr>
        <w:t xml:space="preserve"> </w:t>
      </w:r>
      <w:r w:rsidR="004859A5" w:rsidRPr="006918E8">
        <w:rPr>
          <w:sz w:val="24"/>
        </w:rPr>
        <w:t>and disapproves it in accordance with the provisions of Act 2:</w:t>
      </w:r>
    </w:p>
    <w:p w:rsidR="004859A5" w:rsidRDefault="004859A5" w:rsidP="004859A5">
      <w:pPr>
        <w:tabs>
          <w:tab w:val="left" w:pos="5040"/>
          <w:tab w:val="left" w:pos="5580"/>
        </w:tabs>
        <w:autoSpaceDE w:val="0"/>
        <w:autoSpaceDN w:val="0"/>
        <w:adjustRightInd w:val="0"/>
        <w:rPr>
          <w:sz w:val="24"/>
        </w:rPr>
      </w:pPr>
    </w:p>
    <w:p w:rsidR="004A46F8" w:rsidRDefault="004A46F8" w:rsidP="004A46F8">
      <w:pPr>
        <w:pStyle w:val="ListParagraph"/>
        <w:numPr>
          <w:ilvl w:val="0"/>
          <w:numId w:val="2"/>
        </w:numPr>
      </w:pPr>
      <w:r>
        <w:t xml:space="preserve">The PNDI search of the project was performed on </w:t>
      </w:r>
      <w:r w:rsidR="00031839">
        <w:t xml:space="preserve">September 12, 2014. </w:t>
      </w:r>
      <w:r w:rsidR="005A7056">
        <w:t xml:space="preserve"> </w:t>
      </w:r>
      <w:r w:rsidR="00031839">
        <w:t>O</w:t>
      </w:r>
      <w:r w:rsidR="005A7056">
        <w:t>n</w:t>
      </w:r>
      <w:r>
        <w:t xml:space="preserve"> May 4, 2015, the Northern Long-Eared Bat </w:t>
      </w:r>
      <w:r w:rsidR="005A7056">
        <w:t>was</w:t>
      </w:r>
      <w:r>
        <w:t xml:space="preserve"> listed as a threatened species</w:t>
      </w:r>
      <w:r w:rsidR="00031839">
        <w:t xml:space="preserve">. </w:t>
      </w:r>
      <w:r>
        <w:t xml:space="preserve"> </w:t>
      </w:r>
      <w:r w:rsidR="00031839">
        <w:t>T</w:t>
      </w:r>
      <w:r w:rsidR="005A7056">
        <w:t>he</w:t>
      </w:r>
      <w:r>
        <w:t xml:space="preserve"> PNDI searches must be run</w:t>
      </w:r>
      <w:r w:rsidR="00031839">
        <w:t xml:space="preserve"> again</w:t>
      </w:r>
      <w:r>
        <w:t xml:space="preserve"> to include this species.</w:t>
      </w:r>
    </w:p>
    <w:p w:rsidR="004A46F8" w:rsidRDefault="004A46F8" w:rsidP="004A46F8">
      <w:pPr>
        <w:pStyle w:val="ListParagraph"/>
      </w:pPr>
    </w:p>
    <w:p w:rsidR="004A46F8" w:rsidRDefault="004A46F8" w:rsidP="004A46F8">
      <w:pPr>
        <w:pStyle w:val="ListParagraph"/>
        <w:numPr>
          <w:ilvl w:val="0"/>
          <w:numId w:val="2"/>
        </w:numPr>
      </w:pPr>
      <w:r>
        <w:t xml:space="preserve">The Exposure and Toxicity Assessments are well done and thorough.  The toxicity is correctly calculated as explained on page 5-1 of the risk assessment; for both the outdoor worker and the construction worker, the results exceed the blood lead level of concern </w:t>
      </w:r>
      <w:proofErr w:type="gramStart"/>
      <w:r>
        <w:t xml:space="preserve">of 10 </w:t>
      </w:r>
      <w:proofErr w:type="spellStart"/>
      <w:r>
        <w:t>ug</w:t>
      </w:r>
      <w:proofErr w:type="spellEnd"/>
      <w:r>
        <w:t>/</w:t>
      </w:r>
      <w:proofErr w:type="spellStart"/>
      <w:r>
        <w:t>dL</w:t>
      </w:r>
      <w:proofErr w:type="spellEnd"/>
      <w:proofErr w:type="gramEnd"/>
      <w:r>
        <w:t xml:space="preserve">.  </w:t>
      </w:r>
    </w:p>
    <w:p w:rsidR="004A46F8" w:rsidRDefault="004A46F8" w:rsidP="004A46F8">
      <w:pPr>
        <w:pStyle w:val="ListParagraph"/>
      </w:pPr>
    </w:p>
    <w:p w:rsidR="004A46F8" w:rsidRDefault="004A46F8" w:rsidP="004A46F8">
      <w:pPr>
        <w:pStyle w:val="ListParagraph"/>
        <w:numPr>
          <w:ilvl w:val="0"/>
          <w:numId w:val="2"/>
        </w:numPr>
      </w:pPr>
      <w:r>
        <w:t xml:space="preserve">The mitigation of these calculated risks is incorrect (Section 5.2 steps 1 through 3 in the risk assessment).  </w:t>
      </w:r>
      <w:r w:rsidR="005A7056">
        <w:t>The Department is</w:t>
      </w:r>
      <w:r>
        <w:t xml:space="preserve"> concerned that the riverbank sample RB-1 </w:t>
      </w:r>
      <w:r w:rsidR="005A7056">
        <w:t>will</w:t>
      </w:r>
      <w:r>
        <w:t xml:space="preserve"> not </w:t>
      </w:r>
      <w:r w:rsidR="005A7056">
        <w:t xml:space="preserve">be </w:t>
      </w:r>
      <w:r>
        <w:t>mitigated by this plan</w:t>
      </w:r>
      <w:r w:rsidR="00031839">
        <w:t xml:space="preserve">. </w:t>
      </w:r>
      <w:r>
        <w:t xml:space="preserve"> </w:t>
      </w:r>
      <w:r w:rsidR="00031839">
        <w:t>T</w:t>
      </w:r>
      <w:r w:rsidR="005A7056">
        <w:t>he</w:t>
      </w:r>
      <w:r>
        <w:t xml:space="preserve"> </w:t>
      </w:r>
      <w:r w:rsidR="005A7056">
        <w:t xml:space="preserve">site specific </w:t>
      </w:r>
      <w:r>
        <w:t xml:space="preserve">clean-up value for lead </w:t>
      </w:r>
      <w:r w:rsidR="00031839">
        <w:t>could</w:t>
      </w:r>
      <w:r>
        <w:t xml:space="preserve"> be calculated, and the entire site cleaned up to meet that value.</w:t>
      </w:r>
      <w:r w:rsidR="00031839">
        <w:t xml:space="preserve"> </w:t>
      </w:r>
      <w:r>
        <w:t xml:space="preserve"> </w:t>
      </w:r>
      <w:r w:rsidR="00031839">
        <w:t>Alternatively</w:t>
      </w:r>
      <w:r>
        <w:t xml:space="preserve">, the pathway could be eliminated by capping the area with soil.  If the mitigation chosen here (Section 5.2) </w:t>
      </w:r>
      <w:r w:rsidR="00031839">
        <w:t>is</w:t>
      </w:r>
      <w:r>
        <w:t xml:space="preserve"> used, that mitigation should be </w:t>
      </w:r>
      <w:r w:rsidR="005A7056">
        <w:lastRenderedPageBreak/>
        <w:t>completed</w:t>
      </w:r>
      <w:r>
        <w:t xml:space="preserve"> and a new risk assessment showing calculations for all receptors</w:t>
      </w:r>
      <w:r w:rsidR="005A7056">
        <w:t xml:space="preserve"> should be submitted</w:t>
      </w:r>
      <w:r>
        <w:t xml:space="preserve">, </w:t>
      </w:r>
      <w:r w:rsidR="005A7056">
        <w:t>with</w:t>
      </w:r>
      <w:r>
        <w:t xml:space="preserve"> results </w:t>
      </w:r>
      <w:r w:rsidR="005A7056">
        <w:t xml:space="preserve">that </w:t>
      </w:r>
      <w:r>
        <w:t xml:space="preserve">are below the blood lead level of concern </w:t>
      </w:r>
      <w:proofErr w:type="gramStart"/>
      <w:r>
        <w:t xml:space="preserve">of 10 </w:t>
      </w:r>
      <w:proofErr w:type="spellStart"/>
      <w:r>
        <w:t>ug</w:t>
      </w:r>
      <w:proofErr w:type="spellEnd"/>
      <w:r>
        <w:t>/</w:t>
      </w:r>
      <w:proofErr w:type="spellStart"/>
      <w:r>
        <w:t>dL</w:t>
      </w:r>
      <w:proofErr w:type="spellEnd"/>
      <w:proofErr w:type="gramEnd"/>
      <w:r>
        <w:t xml:space="preserve">.  </w:t>
      </w:r>
    </w:p>
    <w:p w:rsidR="004859A5" w:rsidRDefault="004859A5" w:rsidP="004859A5">
      <w:pPr>
        <w:tabs>
          <w:tab w:val="left" w:pos="5040"/>
          <w:tab w:val="left" w:pos="5580"/>
        </w:tabs>
        <w:autoSpaceDE w:val="0"/>
        <w:autoSpaceDN w:val="0"/>
        <w:adjustRightInd w:val="0"/>
        <w:rPr>
          <w:bCs/>
          <w:sz w:val="24"/>
        </w:rPr>
      </w:pPr>
    </w:p>
    <w:p w:rsidR="00062EDE" w:rsidRDefault="00062EDE" w:rsidP="004859A5">
      <w:pPr>
        <w:tabs>
          <w:tab w:val="left" w:pos="5040"/>
          <w:tab w:val="left" w:pos="5580"/>
        </w:tabs>
        <w:autoSpaceDE w:val="0"/>
        <w:autoSpaceDN w:val="0"/>
        <w:adjustRightInd w:val="0"/>
        <w:rPr>
          <w:bCs/>
          <w:sz w:val="24"/>
        </w:rPr>
      </w:pPr>
    </w:p>
    <w:p w:rsidR="00377276" w:rsidRDefault="004859A5" w:rsidP="00530AA9">
      <w:pPr>
        <w:tabs>
          <w:tab w:val="left" w:pos="5040"/>
          <w:tab w:val="left" w:pos="5580"/>
        </w:tabs>
        <w:autoSpaceDE w:val="0"/>
        <w:autoSpaceDN w:val="0"/>
        <w:adjustRightInd w:val="0"/>
        <w:rPr>
          <w:b/>
          <w:i/>
          <w:sz w:val="24"/>
        </w:rPr>
      </w:pPr>
      <w:r w:rsidRPr="006918E8">
        <w:rPr>
          <w:sz w:val="24"/>
        </w:rPr>
        <w:t xml:space="preserve">In order for your site to be in compliance with applicable requirements of Act 2, these items must be addressed.  </w:t>
      </w:r>
      <w:r w:rsidR="00980FCD">
        <w:rPr>
          <w:sz w:val="24"/>
          <w:szCs w:val="24"/>
        </w:rPr>
        <w:t>The department</w:t>
      </w:r>
      <w:r w:rsidRPr="006918E8">
        <w:rPr>
          <w:sz w:val="24"/>
        </w:rPr>
        <w:t xml:space="preserve"> is willing to work with you to develop an approvable submittal.  </w:t>
      </w:r>
      <w:r w:rsidRPr="006918E8">
        <w:rPr>
          <w:b/>
          <w:i/>
          <w:sz w:val="24"/>
        </w:rPr>
        <w:t>Please note that the required fee(s) must be repaid and public notification must be repeated for all new submittals.</w:t>
      </w:r>
    </w:p>
    <w:p w:rsidR="00377276" w:rsidRDefault="00377276" w:rsidP="00530AA9">
      <w:pPr>
        <w:tabs>
          <w:tab w:val="left" w:pos="5040"/>
          <w:tab w:val="left" w:pos="5580"/>
        </w:tabs>
        <w:autoSpaceDE w:val="0"/>
        <w:autoSpaceDN w:val="0"/>
        <w:adjustRightInd w:val="0"/>
        <w:rPr>
          <w:b/>
          <w:i/>
          <w:sz w:val="24"/>
        </w:rPr>
      </w:pPr>
    </w:p>
    <w:p w:rsidR="00530AA9" w:rsidRPr="006918E8" w:rsidRDefault="00530AA9" w:rsidP="00530AA9">
      <w:pPr>
        <w:tabs>
          <w:tab w:val="left" w:pos="5040"/>
          <w:tab w:val="left" w:pos="5580"/>
        </w:tabs>
        <w:autoSpaceDE w:val="0"/>
        <w:autoSpaceDN w:val="0"/>
        <w:adjustRightInd w:val="0"/>
        <w:rPr>
          <w:sz w:val="24"/>
        </w:rPr>
      </w:pPr>
      <w:r w:rsidRPr="006918E8">
        <w:rPr>
          <w:sz w:val="24"/>
        </w:rPr>
        <w:t xml:space="preserve">If you wish to discuss these deficiencies, please contact </w:t>
      </w:r>
      <w:r w:rsidR="004A46F8">
        <w:rPr>
          <w:bCs/>
          <w:sz w:val="24"/>
        </w:rPr>
        <w:t>Bruce A. McClain, P.G.</w:t>
      </w:r>
      <w:r>
        <w:rPr>
          <w:bCs/>
          <w:sz w:val="24"/>
        </w:rPr>
        <w:t xml:space="preserve"> </w:t>
      </w:r>
      <w:r w:rsidRPr="006918E8">
        <w:rPr>
          <w:sz w:val="24"/>
        </w:rPr>
        <w:t xml:space="preserve">at </w:t>
      </w:r>
      <w:r>
        <w:rPr>
          <w:sz w:val="24"/>
        </w:rPr>
        <w:t>484.250.</w:t>
      </w:r>
      <w:r w:rsidR="004A46F8">
        <w:rPr>
          <w:bCs/>
          <w:sz w:val="24"/>
        </w:rPr>
        <w:t>5785</w:t>
      </w:r>
      <w:r w:rsidRPr="006918E8">
        <w:rPr>
          <w:sz w:val="24"/>
        </w:rPr>
        <w:t>.</w:t>
      </w:r>
    </w:p>
    <w:p w:rsidR="004859A5" w:rsidRDefault="004859A5" w:rsidP="004859A5">
      <w:pPr>
        <w:widowControl w:val="0"/>
        <w:tabs>
          <w:tab w:val="left" w:pos="1440"/>
        </w:tabs>
        <w:suppressAutoHyphens/>
        <w:jc w:val="both"/>
        <w:rPr>
          <w:sz w:val="24"/>
        </w:rPr>
      </w:pPr>
    </w:p>
    <w:p w:rsidR="00062EDE" w:rsidRPr="004F1892" w:rsidRDefault="00062EDE">
      <w:pPr>
        <w:rPr>
          <w:sz w:val="24"/>
          <w:szCs w:val="24"/>
        </w:rPr>
      </w:pPr>
      <w:r w:rsidRPr="004F1892">
        <w:rPr>
          <w:sz w:val="24"/>
          <w:szCs w:val="24"/>
        </w:rPr>
        <w:t>Any person aggrieved by this action may appeal, pursuant to Section 4 of the Environmental Hearing Board Act, 35 P.S. Section 7514, and the Administrative Agency Law, 2 </w:t>
      </w:r>
      <w:proofErr w:type="spellStart"/>
      <w:r w:rsidRPr="004F1892">
        <w:rPr>
          <w:sz w:val="24"/>
          <w:szCs w:val="24"/>
        </w:rPr>
        <w:t>Pa.C.S</w:t>
      </w:r>
      <w:proofErr w:type="spellEnd"/>
      <w:r w:rsidRPr="004F1892">
        <w:rPr>
          <w:sz w:val="24"/>
          <w:szCs w:val="24"/>
        </w:rPr>
        <w:t>. Chapter 5A, to the Environmental Hearing Board, Second Floor, Rachel Carson State Office Building, 400 Market Street, P.O. Box 8457, Harrisburg, PA  17105-8457, 717.787.3483.  TDD users may contact the Board through the Pennsylvania Relay Service, 800.654.5984.  Appeals must be filed with the Environmental Hearing Board within 30 days of receipt of written notice of this action unless the appropriate statute provides a different time period.  Copies of the appeal form and the Board’s rules of practice and procedure may be obtained from the Board.  The appeal form and the Board’s rules of practice and procedure are also available in braille or on audiotape from the Secretary to the Board at 717.787.3483.  This paragraph does not, in and of itself, create any right of appeal beyond that permitted by applicable statutes and decisional law.</w:t>
      </w:r>
    </w:p>
    <w:p w:rsidR="00062EDE" w:rsidRPr="004F1892" w:rsidRDefault="00062EDE">
      <w:pPr>
        <w:rPr>
          <w:sz w:val="24"/>
          <w:szCs w:val="24"/>
        </w:rPr>
      </w:pPr>
    </w:p>
    <w:p w:rsidR="00980FCD" w:rsidRPr="004F1892" w:rsidRDefault="00980FCD" w:rsidP="00980FCD">
      <w:pPr>
        <w:pStyle w:val="BodyTextIndent"/>
        <w:overflowPunct w:val="0"/>
        <w:ind w:left="0"/>
        <w:textAlignment w:val="baseline"/>
        <w:rPr>
          <w:szCs w:val="24"/>
        </w:rPr>
      </w:pPr>
      <w:r w:rsidRPr="004F1892">
        <w:rPr>
          <w:szCs w:val="24"/>
        </w:rPr>
        <w:t>I</w:t>
      </w:r>
      <w:r>
        <w:rPr>
          <w:szCs w:val="24"/>
        </w:rPr>
        <w:t>f</w:t>
      </w:r>
      <w:r w:rsidRPr="004F1892">
        <w:rPr>
          <w:szCs w:val="24"/>
        </w:rPr>
        <w:t xml:space="preserve"> </w:t>
      </w:r>
      <w:r>
        <w:rPr>
          <w:szCs w:val="24"/>
        </w:rPr>
        <w:t>you want to challenge this action, your appeal</w:t>
      </w:r>
      <w:r w:rsidRPr="004F1892">
        <w:rPr>
          <w:szCs w:val="24"/>
        </w:rPr>
        <w:t xml:space="preserve"> </w:t>
      </w:r>
      <w:r>
        <w:rPr>
          <w:szCs w:val="24"/>
        </w:rPr>
        <w:t>must reach the Board within 30 days.  You do not need a lawyer to file an appeal with the Board.</w:t>
      </w:r>
    </w:p>
    <w:p w:rsidR="00980FCD" w:rsidRPr="004F1892" w:rsidRDefault="00980FCD" w:rsidP="00980FCD">
      <w:pPr>
        <w:pStyle w:val="BodyTextIndent"/>
        <w:overflowPunct w:val="0"/>
        <w:ind w:left="0"/>
        <w:textAlignment w:val="baseline"/>
        <w:rPr>
          <w:szCs w:val="24"/>
        </w:rPr>
      </w:pPr>
    </w:p>
    <w:p w:rsidR="00980FCD" w:rsidRPr="004F1892" w:rsidRDefault="00980FCD" w:rsidP="00980FCD">
      <w:pPr>
        <w:pStyle w:val="BodyTextIndent"/>
        <w:ind w:left="0"/>
        <w:rPr>
          <w:szCs w:val="24"/>
        </w:rPr>
      </w:pPr>
      <w:r w:rsidRPr="004F1892">
        <w:rPr>
          <w:szCs w:val="24"/>
        </w:rPr>
        <w:t>I</w:t>
      </w:r>
      <w:r>
        <w:rPr>
          <w:szCs w:val="24"/>
        </w:rPr>
        <w:t>mportant legal rights are at stake, however, so you should show this document to a lawyer at once.</w:t>
      </w:r>
      <w:r w:rsidRPr="004F1892">
        <w:rPr>
          <w:szCs w:val="24"/>
        </w:rPr>
        <w:t xml:space="preserve">  I</w:t>
      </w:r>
      <w:r>
        <w:rPr>
          <w:szCs w:val="24"/>
        </w:rPr>
        <w:t xml:space="preserve">f you cannot afford a lawyer, you may qualify for free pro bono representation. </w:t>
      </w:r>
      <w:r w:rsidRPr="004F1892">
        <w:rPr>
          <w:szCs w:val="24"/>
        </w:rPr>
        <w:t xml:space="preserve"> C</w:t>
      </w:r>
      <w:r>
        <w:rPr>
          <w:szCs w:val="24"/>
        </w:rPr>
        <w:t>all the secretary to the Board (717.787.3483) for more information.</w:t>
      </w:r>
    </w:p>
    <w:p w:rsidR="004859A5" w:rsidRPr="006918E8" w:rsidRDefault="001E68C3" w:rsidP="004859A5">
      <w:pPr>
        <w:widowControl w:val="0"/>
        <w:tabs>
          <w:tab w:val="left" w:pos="561"/>
        </w:tabs>
        <w:suppressAutoHyphens/>
        <w:rPr>
          <w:sz w:val="24"/>
          <w:szCs w:val="24"/>
        </w:rPr>
      </w:pPr>
      <w:r>
        <w:rPr>
          <w:sz w:val="24"/>
          <w:szCs w:val="24"/>
        </w:rPr>
        <w:t xml:space="preserve">  </w:t>
      </w:r>
    </w:p>
    <w:p w:rsidR="004859A5" w:rsidRDefault="004859A5" w:rsidP="00B425AA">
      <w:pPr>
        <w:rPr>
          <w:bCs/>
          <w:sz w:val="24"/>
        </w:rPr>
      </w:pPr>
    </w:p>
    <w:p w:rsidR="00DC6938" w:rsidRDefault="00DC6938" w:rsidP="00B425AA">
      <w:pPr>
        <w:rPr>
          <w:bCs/>
          <w:sz w:val="24"/>
        </w:rPr>
      </w:pPr>
      <w:r>
        <w:rPr>
          <w:bCs/>
          <w:sz w:val="24"/>
        </w:rPr>
        <w:t>Sincerely,</w:t>
      </w:r>
    </w:p>
    <w:p w:rsidR="00DC6938" w:rsidRDefault="00DC6938" w:rsidP="00B425AA">
      <w:pPr>
        <w:rPr>
          <w:bCs/>
          <w:sz w:val="24"/>
        </w:rPr>
      </w:pPr>
    </w:p>
    <w:p w:rsidR="00DC6938" w:rsidRDefault="00DC6938" w:rsidP="00B425AA">
      <w:pPr>
        <w:rPr>
          <w:bCs/>
          <w:sz w:val="24"/>
        </w:rPr>
      </w:pPr>
    </w:p>
    <w:p w:rsidR="00DC6938" w:rsidRDefault="00DC6938" w:rsidP="00B425AA">
      <w:pPr>
        <w:rPr>
          <w:bCs/>
          <w:sz w:val="24"/>
        </w:rPr>
      </w:pPr>
    </w:p>
    <w:p w:rsidR="00376068" w:rsidRPr="00376068" w:rsidRDefault="00376068">
      <w:pPr>
        <w:rPr>
          <w:sz w:val="24"/>
          <w:szCs w:val="24"/>
        </w:rPr>
      </w:pPr>
      <w:r w:rsidRPr="00376068">
        <w:rPr>
          <w:sz w:val="24"/>
          <w:szCs w:val="24"/>
        </w:rPr>
        <w:t>Stephan Sinding</w:t>
      </w:r>
    </w:p>
    <w:p w:rsidR="00376068" w:rsidRPr="00376068" w:rsidRDefault="00376068">
      <w:pPr>
        <w:rPr>
          <w:sz w:val="24"/>
          <w:szCs w:val="24"/>
        </w:rPr>
      </w:pPr>
      <w:r w:rsidRPr="00376068">
        <w:rPr>
          <w:sz w:val="24"/>
          <w:szCs w:val="24"/>
        </w:rPr>
        <w:t>Regional Manager</w:t>
      </w:r>
    </w:p>
    <w:p w:rsidR="00DC6938" w:rsidRPr="00376068" w:rsidRDefault="00376068" w:rsidP="00B425AA">
      <w:pPr>
        <w:rPr>
          <w:bCs/>
          <w:sz w:val="24"/>
          <w:szCs w:val="24"/>
        </w:rPr>
      </w:pPr>
      <w:r w:rsidRPr="00376068">
        <w:rPr>
          <w:sz w:val="24"/>
          <w:szCs w:val="24"/>
        </w:rPr>
        <w:t>Environmental Cleanup and Brownfields</w:t>
      </w:r>
    </w:p>
    <w:p w:rsidR="00B425AA" w:rsidRDefault="00B425AA" w:rsidP="00B425AA">
      <w:pPr>
        <w:rPr>
          <w:bCs/>
          <w:sz w:val="24"/>
        </w:rPr>
      </w:pPr>
    </w:p>
    <w:p w:rsidR="00C418BE" w:rsidRDefault="00B425AA" w:rsidP="00C418BE">
      <w:pPr>
        <w:rPr>
          <w:bCs/>
          <w:sz w:val="24"/>
        </w:rPr>
      </w:pPr>
      <w:r w:rsidRPr="00C418BE">
        <w:rPr>
          <w:bCs/>
          <w:sz w:val="24"/>
        </w:rPr>
        <w:t>cc:</w:t>
      </w:r>
      <w:r w:rsidRPr="00C418BE">
        <w:rPr>
          <w:bCs/>
          <w:sz w:val="24"/>
        </w:rPr>
        <w:tab/>
      </w:r>
      <w:r w:rsidR="00BB1FDF">
        <w:rPr>
          <w:bCs/>
          <w:sz w:val="24"/>
        </w:rPr>
        <w:t xml:space="preserve">Mr. </w:t>
      </w:r>
      <w:r w:rsidR="00D55769">
        <w:rPr>
          <w:bCs/>
          <w:sz w:val="24"/>
        </w:rPr>
        <w:t>Schmidt</w:t>
      </w:r>
      <w:r w:rsidR="00BB1FDF">
        <w:rPr>
          <w:bCs/>
          <w:sz w:val="24"/>
        </w:rPr>
        <w:t>, P.</w:t>
      </w:r>
      <w:r w:rsidR="00D55769">
        <w:rPr>
          <w:bCs/>
          <w:sz w:val="24"/>
        </w:rPr>
        <w:t>E</w:t>
      </w:r>
      <w:r w:rsidR="00BB1FDF">
        <w:rPr>
          <w:bCs/>
          <w:sz w:val="24"/>
        </w:rPr>
        <w:t>. (Pennoni Associates, Inc.)</w:t>
      </w:r>
    </w:p>
    <w:p w:rsidR="0035065C" w:rsidRPr="00C418BE" w:rsidRDefault="0035065C" w:rsidP="00C418BE">
      <w:pPr>
        <w:rPr>
          <w:bCs/>
          <w:sz w:val="24"/>
        </w:rPr>
      </w:pPr>
      <w:r>
        <w:rPr>
          <w:bCs/>
          <w:sz w:val="24"/>
        </w:rPr>
        <w:tab/>
      </w:r>
      <w:r w:rsidR="00BB1FDF">
        <w:rPr>
          <w:bCs/>
          <w:sz w:val="24"/>
        </w:rPr>
        <w:t>Mr. McClain, P.G.</w:t>
      </w:r>
    </w:p>
    <w:p w:rsidR="00C418BE" w:rsidRDefault="00C418BE" w:rsidP="00C418BE">
      <w:pPr>
        <w:ind w:left="720"/>
        <w:rPr>
          <w:bCs/>
          <w:sz w:val="24"/>
        </w:rPr>
      </w:pPr>
      <w:r w:rsidRPr="00C418BE">
        <w:rPr>
          <w:bCs/>
          <w:sz w:val="24"/>
        </w:rPr>
        <w:t>Ms. Warren</w:t>
      </w:r>
    </w:p>
    <w:p w:rsidR="00376068" w:rsidRPr="00C418BE" w:rsidRDefault="00376068" w:rsidP="00C418BE">
      <w:pPr>
        <w:ind w:left="720"/>
        <w:rPr>
          <w:bCs/>
          <w:sz w:val="24"/>
        </w:rPr>
      </w:pPr>
      <w:r>
        <w:rPr>
          <w:bCs/>
          <w:sz w:val="24"/>
        </w:rPr>
        <w:lastRenderedPageBreak/>
        <w:t>Ms. Bass</w:t>
      </w:r>
    </w:p>
    <w:p w:rsidR="00267547" w:rsidRDefault="00634603" w:rsidP="00C418BE">
      <w:pPr>
        <w:rPr>
          <w:bCs/>
          <w:sz w:val="24"/>
        </w:rPr>
      </w:pPr>
      <w:r>
        <w:rPr>
          <w:bCs/>
          <w:sz w:val="24"/>
        </w:rPr>
        <w:tab/>
        <w:t xml:space="preserve">Re 30 </w:t>
      </w:r>
      <w:r>
        <w:rPr>
          <w:bCs/>
          <w:sz w:val="24"/>
        </w:rPr>
        <w:fldChar w:fldCharType="begin"/>
      </w:r>
      <w:r>
        <w:rPr>
          <w:bCs/>
          <w:sz w:val="24"/>
        </w:rPr>
        <w:instrText xml:space="preserve"> FILLIN  \* MERGEFORMAT </w:instrText>
      </w:r>
      <w:r>
        <w:rPr>
          <w:bCs/>
          <w:sz w:val="24"/>
        </w:rPr>
        <w:fldChar w:fldCharType="separate"/>
      </w:r>
      <w:r w:rsidR="00E34941">
        <w:rPr>
          <w:bCs/>
          <w:sz w:val="24"/>
        </w:rPr>
        <w:t>(WP)</w:t>
      </w:r>
      <w:r>
        <w:rPr>
          <w:bCs/>
          <w:sz w:val="24"/>
        </w:rPr>
        <w:fldChar w:fldCharType="end"/>
      </w:r>
    </w:p>
    <w:p w:rsidR="008D3C1D" w:rsidRDefault="008D3C1D">
      <w:pPr>
        <w:rPr>
          <w:bCs/>
          <w:sz w:val="24"/>
        </w:rPr>
      </w:pPr>
    </w:p>
    <w:p w:rsidR="00CD02C2" w:rsidRDefault="00CD02C2">
      <w:pPr>
        <w:rPr>
          <w:bCs/>
          <w:sz w:val="24"/>
        </w:rPr>
      </w:pPr>
    </w:p>
    <w:p w:rsidR="00CD02C2" w:rsidRDefault="00CD02C2">
      <w:pPr>
        <w:rPr>
          <w:bCs/>
          <w:sz w:val="24"/>
        </w:rPr>
      </w:pPr>
    </w:p>
    <w:p w:rsidR="00CD02C2" w:rsidRDefault="00CD02C2">
      <w:pPr>
        <w:rPr>
          <w:bCs/>
          <w:sz w:val="24"/>
        </w:rPr>
      </w:pPr>
    </w:p>
    <w:p w:rsidR="00CD02C2" w:rsidRDefault="00CD02C2">
      <w:pPr>
        <w:rPr>
          <w:bCs/>
          <w:sz w:val="24"/>
        </w:rPr>
      </w:pPr>
    </w:p>
    <w:p w:rsidR="00CD02C2" w:rsidRDefault="00CD02C2">
      <w:pPr>
        <w:rPr>
          <w:bCs/>
          <w:sz w:val="24"/>
        </w:rPr>
      </w:pPr>
      <w:r>
        <w:rPr>
          <w:bCs/>
          <w:sz w:val="24"/>
        </w:rPr>
        <w:t xml:space="preserve">Mr. </w:t>
      </w:r>
      <w:r w:rsidR="00D55769">
        <w:rPr>
          <w:bCs/>
          <w:sz w:val="24"/>
        </w:rPr>
        <w:t>William F. Schmidt</w:t>
      </w:r>
      <w:r>
        <w:rPr>
          <w:bCs/>
          <w:sz w:val="24"/>
        </w:rPr>
        <w:t>, P.</w:t>
      </w:r>
      <w:r w:rsidR="00D55769">
        <w:rPr>
          <w:bCs/>
          <w:sz w:val="24"/>
        </w:rPr>
        <w:t>E</w:t>
      </w:r>
    </w:p>
    <w:p w:rsidR="00CD02C2" w:rsidRDefault="00CD02C2">
      <w:pPr>
        <w:rPr>
          <w:bCs/>
          <w:sz w:val="24"/>
        </w:rPr>
      </w:pPr>
      <w:r>
        <w:rPr>
          <w:bCs/>
          <w:sz w:val="24"/>
        </w:rPr>
        <w:t>One Drexel Plaza</w:t>
      </w:r>
    </w:p>
    <w:p w:rsidR="00CD02C2" w:rsidRDefault="00CD02C2">
      <w:pPr>
        <w:rPr>
          <w:bCs/>
          <w:sz w:val="24"/>
        </w:rPr>
      </w:pPr>
      <w:r>
        <w:rPr>
          <w:bCs/>
          <w:sz w:val="24"/>
        </w:rPr>
        <w:t>3001 Market Street</w:t>
      </w:r>
    </w:p>
    <w:p w:rsidR="00D55769" w:rsidRDefault="00D55769">
      <w:pPr>
        <w:rPr>
          <w:bCs/>
          <w:sz w:val="24"/>
        </w:rPr>
      </w:pPr>
      <w:r>
        <w:rPr>
          <w:bCs/>
          <w:sz w:val="24"/>
        </w:rPr>
        <w:t>Suite 200</w:t>
      </w:r>
    </w:p>
    <w:p w:rsidR="00CD02C2" w:rsidRDefault="00CD02C2">
      <w:pPr>
        <w:rPr>
          <w:bCs/>
          <w:sz w:val="24"/>
        </w:rPr>
      </w:pPr>
      <w:r>
        <w:rPr>
          <w:bCs/>
          <w:sz w:val="24"/>
        </w:rPr>
        <w:t>Philadelphia, PA 19104</w:t>
      </w:r>
    </w:p>
    <w:sectPr w:rsidR="00CD02C2" w:rsidSect="006721AE">
      <w:headerReference w:type="default" r:id="rId8"/>
      <w:headerReference w:type="first" r:id="rId9"/>
      <w:footerReference w:type="first" r:id="rId10"/>
      <w:pgSz w:w="12240" w:h="15840" w:code="1"/>
      <w:pgMar w:top="1800" w:right="1440" w:bottom="1440" w:left="1440" w:header="144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41" w:rsidRDefault="00E34941">
      <w:r>
        <w:separator/>
      </w:r>
    </w:p>
  </w:endnote>
  <w:endnote w:type="continuationSeparator" w:id="0">
    <w:p w:rsidR="00E34941" w:rsidRDefault="00E3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53" w:rsidRDefault="00C00853" w:rsidP="005B7F83">
    <w:pPr>
      <w:pStyle w:val="Footer"/>
      <w:jc w:val="center"/>
      <w:rPr>
        <w:rFonts w:ascii="Verdana" w:hAnsi="Verdana"/>
        <w:sz w:val="16"/>
        <w:szCs w:val="16"/>
      </w:rPr>
    </w:pPr>
    <w:r>
      <w:rPr>
        <w:rFonts w:ascii="Verdana" w:hAnsi="Verdana"/>
        <w:sz w:val="16"/>
        <w:szCs w:val="16"/>
      </w:rPr>
      <w:t xml:space="preserve">Southeast Regional Office | </w:t>
    </w:r>
    <w:smartTag w:uri="urn:schemas-microsoft-com:office:smarttags" w:element="Street">
      <w:smartTag w:uri="urn:schemas-microsoft-com:office:smarttags" w:element="address">
        <w:r>
          <w:rPr>
            <w:rFonts w:ascii="Verdana" w:hAnsi="Verdana"/>
            <w:sz w:val="16"/>
            <w:szCs w:val="16"/>
          </w:rPr>
          <w:t>2 East Main Street</w:t>
        </w:r>
      </w:smartTag>
    </w:smartTag>
    <w:r>
      <w:rPr>
        <w:rFonts w:ascii="Verdana" w:hAnsi="Verdana"/>
        <w:sz w:val="16"/>
        <w:szCs w:val="16"/>
      </w:rPr>
      <w:t xml:space="preserve"> | </w:t>
    </w:r>
    <w:smartTag w:uri="urn:schemas-microsoft-com:office:smarttags" w:element="place">
      <w:smartTag w:uri="urn:schemas-microsoft-com:office:smarttags" w:element="City">
        <w:r>
          <w:rPr>
            <w:rFonts w:ascii="Verdana" w:hAnsi="Verdana"/>
            <w:sz w:val="16"/>
            <w:szCs w:val="16"/>
          </w:rPr>
          <w:t>Norristown</w:t>
        </w:r>
      </w:smartTag>
      <w:r>
        <w:rPr>
          <w:rFonts w:ascii="Verdana" w:hAnsi="Verdana"/>
          <w:sz w:val="16"/>
          <w:szCs w:val="16"/>
        </w:rPr>
        <w:t xml:space="preserve">, </w:t>
      </w:r>
      <w:smartTag w:uri="urn:schemas-microsoft-com:office:smarttags" w:element="State">
        <w:r>
          <w:rPr>
            <w:rFonts w:ascii="Verdana" w:hAnsi="Verdana"/>
            <w:sz w:val="16"/>
            <w:szCs w:val="16"/>
          </w:rPr>
          <w:t>PA</w:t>
        </w:r>
      </w:smartTag>
      <w:r>
        <w:rPr>
          <w:rFonts w:ascii="Verdana" w:hAnsi="Verdana"/>
          <w:sz w:val="16"/>
          <w:szCs w:val="16"/>
        </w:rPr>
        <w:t xml:space="preserve">  </w:t>
      </w:r>
      <w:smartTag w:uri="urn:schemas-microsoft-com:office:smarttags" w:element="PostalCode">
        <w:r>
          <w:rPr>
            <w:rFonts w:ascii="Verdana" w:hAnsi="Verdana"/>
            <w:sz w:val="16"/>
            <w:szCs w:val="16"/>
          </w:rPr>
          <w:t>19401</w:t>
        </w:r>
        <w:r w:rsidR="00B50E53">
          <w:rPr>
            <w:rFonts w:ascii="Verdana" w:hAnsi="Verdana"/>
            <w:sz w:val="16"/>
            <w:szCs w:val="16"/>
          </w:rPr>
          <w:t>-4915</w:t>
        </w:r>
      </w:smartTag>
    </w:smartTag>
  </w:p>
  <w:p w:rsidR="00C00853" w:rsidRDefault="00C00853" w:rsidP="005B7F83">
    <w:pPr>
      <w:pStyle w:val="Footer"/>
      <w:jc w:val="center"/>
      <w:rPr>
        <w:rFonts w:ascii="Verdana" w:hAnsi="Verdana"/>
        <w:sz w:val="16"/>
        <w:szCs w:val="16"/>
      </w:rPr>
    </w:pPr>
  </w:p>
  <w:p w:rsidR="00C00853" w:rsidRPr="005B7F83" w:rsidRDefault="00C00853" w:rsidP="00BF0470">
    <w:pPr>
      <w:pStyle w:val="Footer"/>
      <w:tabs>
        <w:tab w:val="clear" w:pos="4320"/>
        <w:tab w:val="clear" w:pos="8640"/>
        <w:tab w:val="right" w:pos="7200"/>
        <w:tab w:val="right" w:pos="9216"/>
      </w:tabs>
      <w:rPr>
        <w:rFonts w:ascii="Verdana" w:hAnsi="Verdana"/>
        <w:sz w:val="16"/>
        <w:szCs w:val="16"/>
      </w:rPr>
    </w:pPr>
    <w:r>
      <w:rPr>
        <w:rFonts w:ascii="Verdana" w:hAnsi="Verdana"/>
        <w:sz w:val="16"/>
        <w:szCs w:val="16"/>
      </w:rPr>
      <w:t>484.250.</w:t>
    </w:r>
    <w:r w:rsidR="00333D3A">
      <w:rPr>
        <w:rFonts w:ascii="Verdana" w:hAnsi="Verdana"/>
        <w:sz w:val="16"/>
        <w:szCs w:val="16"/>
      </w:rPr>
      <w:t>5960</w:t>
    </w:r>
    <w:r>
      <w:rPr>
        <w:rFonts w:ascii="Verdana" w:hAnsi="Verdana"/>
        <w:sz w:val="16"/>
        <w:szCs w:val="16"/>
      </w:rPr>
      <w:t xml:space="preserve"> | Fax 484.250.</w:t>
    </w:r>
    <w:r w:rsidR="00333D3A">
      <w:rPr>
        <w:rFonts w:ascii="Verdana" w:hAnsi="Verdana"/>
        <w:sz w:val="16"/>
        <w:szCs w:val="16"/>
      </w:rPr>
      <w:t>5961</w:t>
    </w:r>
    <w:r>
      <w:rPr>
        <w:rFonts w:ascii="Verdana" w:hAnsi="Verdana"/>
        <w:sz w:val="16"/>
        <w:szCs w:val="16"/>
      </w:rPr>
      <w:tab/>
    </w:r>
    <w:r>
      <w:rPr>
        <w:rFonts w:ascii="Verdana" w:hAnsi="Verdana"/>
        <w:sz w:val="16"/>
        <w:szCs w:val="16"/>
      </w:rPr>
      <w:tab/>
      <w:t>www.depweb.</w:t>
    </w:r>
    <w:r w:rsidR="00417AD2">
      <w:rPr>
        <w:rFonts w:ascii="Verdana" w:hAnsi="Verdana"/>
        <w:sz w:val="16"/>
        <w:szCs w:val="16"/>
      </w:rPr>
      <w:t>state.</w:t>
    </w:r>
    <w:r>
      <w:rPr>
        <w:rFonts w:ascii="Verdana" w:hAnsi="Verdana"/>
        <w:sz w:val="16"/>
        <w:szCs w:val="16"/>
      </w:rPr>
      <w:t>pa.</w:t>
    </w:r>
    <w:r w:rsidR="00417AD2">
      <w:rPr>
        <w:rFonts w:ascii="Verdana" w:hAnsi="Verdana"/>
        <w:sz w:val="16"/>
        <w:szCs w:val="16"/>
      </w:rPr>
      <w: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41" w:rsidRDefault="00E34941">
      <w:r>
        <w:separator/>
      </w:r>
    </w:p>
  </w:footnote>
  <w:footnote w:type="continuationSeparator" w:id="0">
    <w:p w:rsidR="00E34941" w:rsidRDefault="00E34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86"/>
      <w:gridCol w:w="3186"/>
      <w:gridCol w:w="3186"/>
    </w:tblGrid>
    <w:tr w:rsidR="00C00853">
      <w:tc>
        <w:tcPr>
          <w:tcW w:w="3186" w:type="dxa"/>
        </w:tcPr>
        <w:p w:rsidR="00C00853" w:rsidRDefault="00C00853">
          <w:pPr>
            <w:pStyle w:val="Header"/>
            <w:rPr>
              <w:sz w:val="24"/>
            </w:rPr>
          </w:pPr>
        </w:p>
      </w:tc>
      <w:tc>
        <w:tcPr>
          <w:tcW w:w="3186" w:type="dxa"/>
        </w:tcPr>
        <w:p w:rsidR="00C00853" w:rsidRDefault="00C00853">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983744">
            <w:rPr>
              <w:rStyle w:val="PageNumber"/>
              <w:noProof/>
              <w:sz w:val="24"/>
            </w:rPr>
            <w:t>3</w:t>
          </w:r>
          <w:r>
            <w:rPr>
              <w:rStyle w:val="PageNumber"/>
              <w:sz w:val="24"/>
            </w:rPr>
            <w:fldChar w:fldCharType="end"/>
          </w:r>
          <w:r>
            <w:rPr>
              <w:rStyle w:val="PageNumber"/>
              <w:sz w:val="24"/>
            </w:rPr>
            <w:t xml:space="preserve">  -</w:t>
          </w:r>
        </w:p>
      </w:tc>
      <w:tc>
        <w:tcPr>
          <w:tcW w:w="3186" w:type="dxa"/>
        </w:tcPr>
        <w:p w:rsidR="00C00853" w:rsidRDefault="00C00853">
          <w:pPr>
            <w:pStyle w:val="Header"/>
            <w:jc w:val="right"/>
            <w:rPr>
              <w:sz w:val="24"/>
            </w:rPr>
          </w:pPr>
          <w:r>
            <w:rPr>
              <w:sz w:val="24"/>
            </w:rPr>
            <w:fldChar w:fldCharType="begin"/>
          </w:r>
          <w:r>
            <w:rPr>
              <w:sz w:val="24"/>
            </w:rPr>
            <w:instrText xml:space="preserve"> DATE \@ "MMMM d, yyyy" \* MERGEFORMAT </w:instrText>
          </w:r>
          <w:r>
            <w:rPr>
              <w:sz w:val="24"/>
            </w:rPr>
            <w:fldChar w:fldCharType="separate"/>
          </w:r>
          <w:r w:rsidR="00983744">
            <w:rPr>
              <w:noProof/>
              <w:sz w:val="24"/>
            </w:rPr>
            <w:t>November 17, 2015</w:t>
          </w:r>
          <w:r>
            <w:rPr>
              <w:sz w:val="24"/>
            </w:rPr>
            <w:fldChar w:fldCharType="end"/>
          </w:r>
        </w:p>
      </w:tc>
    </w:tr>
  </w:tbl>
  <w:p w:rsidR="00C00853" w:rsidRPr="001E55B8" w:rsidRDefault="00C00853">
    <w:pPr>
      <w:pStyle w:val="Header"/>
      <w:rPr>
        <w:sz w:val="24"/>
        <w:szCs w:val="24"/>
      </w:rPr>
    </w:pPr>
  </w:p>
  <w:p w:rsidR="00C00853" w:rsidRPr="001E55B8" w:rsidRDefault="00C00853">
    <w:pPr>
      <w:pStyle w:val="Header"/>
      <w:rPr>
        <w:sz w:val="24"/>
        <w:szCs w:val="24"/>
      </w:rPr>
    </w:pPr>
  </w:p>
  <w:p w:rsidR="00C00853" w:rsidRPr="001E55B8" w:rsidRDefault="00C00853">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53" w:rsidRPr="0068239C" w:rsidRDefault="00C00853">
    <w:pPr>
      <w:pStyle w:val="Header"/>
      <w:rPr>
        <w:sz w:val="16"/>
        <w:szCs w:val="16"/>
      </w:rPr>
    </w:pPr>
  </w:p>
  <w:p w:rsidR="00C00853" w:rsidRPr="0068239C" w:rsidRDefault="00C00853">
    <w:pPr>
      <w:pStyle w:val="Header"/>
      <w:rPr>
        <w:sz w:val="16"/>
        <w:szCs w:val="16"/>
      </w:rPr>
    </w:pPr>
  </w:p>
  <w:p w:rsidR="00C00853" w:rsidRDefault="00641AEC" w:rsidP="008D3043">
    <w:pPr>
      <w:pStyle w:val="Header"/>
      <w:tabs>
        <w:tab w:val="clear" w:pos="4320"/>
        <w:tab w:val="clear" w:pos="8640"/>
      </w:tabs>
      <w:ind w:left="1267"/>
      <w:rPr>
        <w:rFonts w:ascii="Verdana" w:hAnsi="Verdana"/>
        <w:caps/>
        <w:sz w:val="16"/>
        <w:szCs w:val="16"/>
      </w:rPr>
    </w:pPr>
    <w:r>
      <w:rPr>
        <w:rFonts w:ascii="Verdana" w:hAnsi="Verdana"/>
        <w:caps/>
        <w:sz w:val="16"/>
        <w:szCs w:val="16"/>
      </w:rPr>
      <w:t>SOUTHEAST REGIONAL OFFICE</w:t>
    </w:r>
  </w:p>
  <w:p w:rsidR="00C00853" w:rsidRPr="0068239C" w:rsidRDefault="00C00853" w:rsidP="0068239C">
    <w:pPr>
      <w:pStyle w:val="Header"/>
      <w:rPr>
        <w:rFonts w:ascii="Verdana" w:hAnsi="Verdana"/>
        <w:caps/>
        <w:sz w:val="16"/>
        <w:szCs w:val="16"/>
      </w:rPr>
    </w:pPr>
  </w:p>
  <w:p w:rsidR="00C00853" w:rsidRPr="0068239C" w:rsidRDefault="00C00853" w:rsidP="0068239C">
    <w:pPr>
      <w:pStyle w:val="Header"/>
      <w:rPr>
        <w:rFonts w:ascii="Verdana" w:hAnsi="Verdana"/>
        <w:caps/>
        <w:sz w:val="16"/>
        <w:szCs w:val="16"/>
      </w:rPr>
    </w:pPr>
  </w:p>
  <w:p w:rsidR="00C00853" w:rsidRPr="0068239C" w:rsidRDefault="00C00853" w:rsidP="0068239C">
    <w:pPr>
      <w:pStyle w:val="Header"/>
      <w:rPr>
        <w:rFonts w:ascii="Verdana" w:hAnsi="Verdana"/>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8EA"/>
    <w:multiLevelType w:val="hybridMultilevel"/>
    <w:tmpl w:val="F7227A84"/>
    <w:lvl w:ilvl="0" w:tplc="677670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0E5266"/>
    <w:multiLevelType w:val="hybridMultilevel"/>
    <w:tmpl w:val="146AA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41"/>
    <w:rsid w:val="000051EC"/>
    <w:rsid w:val="00031839"/>
    <w:rsid w:val="00062EDE"/>
    <w:rsid w:val="00162ED9"/>
    <w:rsid w:val="001E55B8"/>
    <w:rsid w:val="001E68C3"/>
    <w:rsid w:val="00244D15"/>
    <w:rsid w:val="00267547"/>
    <w:rsid w:val="002D785C"/>
    <w:rsid w:val="00333D3A"/>
    <w:rsid w:val="00345F9C"/>
    <w:rsid w:val="0035065C"/>
    <w:rsid w:val="00376068"/>
    <w:rsid w:val="00377276"/>
    <w:rsid w:val="003A1710"/>
    <w:rsid w:val="003A5D8C"/>
    <w:rsid w:val="003C5E2C"/>
    <w:rsid w:val="00417AD2"/>
    <w:rsid w:val="00455362"/>
    <w:rsid w:val="004859A5"/>
    <w:rsid w:val="004A46F8"/>
    <w:rsid w:val="00530AA9"/>
    <w:rsid w:val="005A538D"/>
    <w:rsid w:val="005A7056"/>
    <w:rsid w:val="005B718A"/>
    <w:rsid w:val="005B7F83"/>
    <w:rsid w:val="00634603"/>
    <w:rsid w:val="00641AEC"/>
    <w:rsid w:val="006721AE"/>
    <w:rsid w:val="0068239C"/>
    <w:rsid w:val="006D7F7B"/>
    <w:rsid w:val="00783133"/>
    <w:rsid w:val="0079359A"/>
    <w:rsid w:val="007E7090"/>
    <w:rsid w:val="008300DF"/>
    <w:rsid w:val="00853330"/>
    <w:rsid w:val="008A0954"/>
    <w:rsid w:val="008C7407"/>
    <w:rsid w:val="008D3043"/>
    <w:rsid w:val="008D3C1D"/>
    <w:rsid w:val="00956330"/>
    <w:rsid w:val="00980FCD"/>
    <w:rsid w:val="00983744"/>
    <w:rsid w:val="009A1D52"/>
    <w:rsid w:val="00A75FD8"/>
    <w:rsid w:val="00AB4D02"/>
    <w:rsid w:val="00AE3EE5"/>
    <w:rsid w:val="00B425AA"/>
    <w:rsid w:val="00B50E53"/>
    <w:rsid w:val="00B62F74"/>
    <w:rsid w:val="00BB1FDF"/>
    <w:rsid w:val="00BC4950"/>
    <w:rsid w:val="00BF0470"/>
    <w:rsid w:val="00C00853"/>
    <w:rsid w:val="00C20B51"/>
    <w:rsid w:val="00C418BE"/>
    <w:rsid w:val="00CD02C2"/>
    <w:rsid w:val="00D107EF"/>
    <w:rsid w:val="00D55769"/>
    <w:rsid w:val="00DC6938"/>
    <w:rsid w:val="00DD308C"/>
    <w:rsid w:val="00E34941"/>
    <w:rsid w:val="00E807A0"/>
    <w:rsid w:val="00EB1C40"/>
    <w:rsid w:val="00F74BCC"/>
    <w:rsid w:val="00FB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Arial" w:hAnsi="Arial"/>
      <w:caps/>
    </w:rPr>
  </w:style>
  <w:style w:type="paragraph" w:styleId="EnvelopeReturn">
    <w:name w:val="envelope return"/>
    <w:basedOn w:val="Normal"/>
    <w:rPr>
      <w:caps/>
      <w:sz w:val="24"/>
    </w:rPr>
  </w:style>
  <w:style w:type="paragraph" w:styleId="PlainText">
    <w:name w:val="Plain Text"/>
    <w:basedOn w:val="Normal"/>
    <w:pPr>
      <w:tabs>
        <w:tab w:val="left" w:pos="5040"/>
        <w:tab w:val="left" w:pos="5580"/>
      </w:tabs>
      <w:ind w:right="-720"/>
    </w:pPr>
    <w:rPr>
      <w:rFonts w:ascii="Courier New" w:hAnsi="Courier New"/>
    </w:rPr>
  </w:style>
  <w:style w:type="paragraph" w:styleId="BalloonText">
    <w:name w:val="Balloon Text"/>
    <w:basedOn w:val="Normal"/>
    <w:semiHidden/>
    <w:rsid w:val="005B7F83"/>
    <w:rPr>
      <w:rFonts w:ascii="Tahoma" w:hAnsi="Tahoma" w:cs="Tahoma"/>
      <w:sz w:val="16"/>
      <w:szCs w:val="16"/>
    </w:rPr>
  </w:style>
  <w:style w:type="paragraph" w:styleId="BodyTextIndent">
    <w:name w:val="Body Text Indent"/>
    <w:basedOn w:val="Normal"/>
    <w:link w:val="BodyTextIndentChar"/>
    <w:rsid w:val="00062EDE"/>
    <w:pPr>
      <w:widowControl w:val="0"/>
      <w:tabs>
        <w:tab w:val="left" w:pos="1260"/>
        <w:tab w:val="left" w:pos="1980"/>
        <w:tab w:val="left" w:pos="2520"/>
        <w:tab w:val="left" w:pos="3240"/>
        <w:tab w:val="left" w:pos="3600"/>
        <w:tab w:val="left" w:pos="4320"/>
        <w:tab w:val="left" w:pos="4770"/>
        <w:tab w:val="left" w:pos="5220"/>
        <w:tab w:val="left" w:pos="5760"/>
        <w:tab w:val="left" w:pos="6840"/>
        <w:tab w:val="left" w:pos="7380"/>
        <w:tab w:val="left" w:pos="7920"/>
      </w:tabs>
      <w:suppressAutoHyphens/>
      <w:ind w:left="720"/>
    </w:pPr>
    <w:rPr>
      <w:sz w:val="24"/>
    </w:rPr>
  </w:style>
  <w:style w:type="character" w:customStyle="1" w:styleId="BodyTextIndentChar">
    <w:name w:val="Body Text Indent Char"/>
    <w:basedOn w:val="DefaultParagraphFont"/>
    <w:link w:val="BodyTextIndent"/>
    <w:rsid w:val="00062EDE"/>
    <w:rPr>
      <w:sz w:val="24"/>
    </w:rPr>
  </w:style>
  <w:style w:type="paragraph" w:styleId="ListParagraph">
    <w:name w:val="List Paragraph"/>
    <w:basedOn w:val="Normal"/>
    <w:uiPriority w:val="34"/>
    <w:qFormat/>
    <w:rsid w:val="004A46F8"/>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Arial" w:hAnsi="Arial"/>
      <w:caps/>
    </w:rPr>
  </w:style>
  <w:style w:type="paragraph" w:styleId="EnvelopeReturn">
    <w:name w:val="envelope return"/>
    <w:basedOn w:val="Normal"/>
    <w:rPr>
      <w:caps/>
      <w:sz w:val="24"/>
    </w:rPr>
  </w:style>
  <w:style w:type="paragraph" w:styleId="PlainText">
    <w:name w:val="Plain Text"/>
    <w:basedOn w:val="Normal"/>
    <w:pPr>
      <w:tabs>
        <w:tab w:val="left" w:pos="5040"/>
        <w:tab w:val="left" w:pos="5580"/>
      </w:tabs>
      <w:ind w:right="-720"/>
    </w:pPr>
    <w:rPr>
      <w:rFonts w:ascii="Courier New" w:hAnsi="Courier New"/>
    </w:rPr>
  </w:style>
  <w:style w:type="paragraph" w:styleId="BalloonText">
    <w:name w:val="Balloon Text"/>
    <w:basedOn w:val="Normal"/>
    <w:semiHidden/>
    <w:rsid w:val="005B7F83"/>
    <w:rPr>
      <w:rFonts w:ascii="Tahoma" w:hAnsi="Tahoma" w:cs="Tahoma"/>
      <w:sz w:val="16"/>
      <w:szCs w:val="16"/>
    </w:rPr>
  </w:style>
  <w:style w:type="paragraph" w:styleId="BodyTextIndent">
    <w:name w:val="Body Text Indent"/>
    <w:basedOn w:val="Normal"/>
    <w:link w:val="BodyTextIndentChar"/>
    <w:rsid w:val="00062EDE"/>
    <w:pPr>
      <w:widowControl w:val="0"/>
      <w:tabs>
        <w:tab w:val="left" w:pos="1260"/>
        <w:tab w:val="left" w:pos="1980"/>
        <w:tab w:val="left" w:pos="2520"/>
        <w:tab w:val="left" w:pos="3240"/>
        <w:tab w:val="left" w:pos="3600"/>
        <w:tab w:val="left" w:pos="4320"/>
        <w:tab w:val="left" w:pos="4770"/>
        <w:tab w:val="left" w:pos="5220"/>
        <w:tab w:val="left" w:pos="5760"/>
        <w:tab w:val="left" w:pos="6840"/>
        <w:tab w:val="left" w:pos="7380"/>
        <w:tab w:val="left" w:pos="7920"/>
      </w:tabs>
      <w:suppressAutoHyphens/>
      <w:ind w:left="720"/>
    </w:pPr>
    <w:rPr>
      <w:sz w:val="24"/>
    </w:rPr>
  </w:style>
  <w:style w:type="character" w:customStyle="1" w:styleId="BodyTextIndentChar">
    <w:name w:val="Body Text Indent Char"/>
    <w:basedOn w:val="DefaultParagraphFont"/>
    <w:link w:val="BodyTextIndent"/>
    <w:rsid w:val="00062EDE"/>
    <w:rPr>
      <w:sz w:val="24"/>
    </w:rPr>
  </w:style>
  <w:style w:type="paragraph" w:styleId="ListParagraph">
    <w:name w:val="List Paragraph"/>
    <w:basedOn w:val="Normal"/>
    <w:uiPriority w:val="34"/>
    <w:qFormat/>
    <w:rsid w:val="004A46F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Lee Park, Suite 6010</vt:lpstr>
    </vt:vector>
  </TitlesOfParts>
  <Company>Department of Environmental Protection</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Park, Suite 6010</dc:title>
  <dc:creator>Build</dc:creator>
  <cp:lastModifiedBy>Fred Stine</cp:lastModifiedBy>
  <cp:revision>2</cp:revision>
  <cp:lastPrinted>2015-03-16T14:40:00Z</cp:lastPrinted>
  <dcterms:created xsi:type="dcterms:W3CDTF">2015-11-17T18:34:00Z</dcterms:created>
  <dcterms:modified xsi:type="dcterms:W3CDTF">2015-11-17T18:34:00Z</dcterms:modified>
</cp:coreProperties>
</file>